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F06BA6">
        <w:rPr>
          <w:rFonts w:ascii="Arial" w:hAnsi="Arial" w:cs="Arial"/>
          <w:b/>
          <w:bCs/>
          <w:sz w:val="20"/>
          <w:szCs w:val="20"/>
        </w:rPr>
        <w:t xml:space="preserve">Załącznik nr 2 do uchwały nr XLIII/315/2023 Rady Gminy </w:t>
      </w:r>
    </w:p>
    <w:bookmarkEnd w:id="0"/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06BA6">
        <w:rPr>
          <w:rFonts w:ascii="Arial" w:hAnsi="Arial" w:cs="Arial"/>
          <w:b/>
          <w:bCs/>
          <w:sz w:val="20"/>
          <w:szCs w:val="20"/>
        </w:rPr>
        <w:t>UZASADNIENIE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06BA6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Bądkowo na lata 2023-2030.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  <w:sz w:val="20"/>
          <w:szCs w:val="20"/>
        </w:rPr>
        <w:t>Zgodnie ze zmianami w budżecie w 2023 roku, do</w:t>
      </w:r>
      <w:r w:rsidRPr="00F06BA6">
        <w:rPr>
          <w:rFonts w:ascii="Arial" w:hAnsi="Arial" w:cs="Arial"/>
        </w:rPr>
        <w:t>konano następujących zmian w Wieloletniej Prognozie Finansowej Gminy Bądkowo na lata 2023-2030: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</w:rPr>
        <w:t>Po dokonaniu  zmian wynik budżetu jest deficytowy i wg planu na dzień 13.01.2023 r. wynosi -3.644.904,42 zł.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F06BA6">
        <w:rPr>
          <w:rFonts w:ascii="Arial" w:hAnsi="Arial" w:cs="Arial"/>
          <w:b/>
          <w:bCs/>
          <w:sz w:val="20"/>
          <w:szCs w:val="20"/>
        </w:rPr>
        <w:t>Tabela 1. Zmiany w dochodach i wydatkach w 2023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27.666.303,48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612.500,00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28.278.803,48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18.172.803,48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18.572.803,48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udziały z podatku CIT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2.227.472,00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2.227.472,00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2.680.170,00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2.980.170,00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13.265.161,48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13.365.161,48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9.493.500,00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212.500,00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9.706.000,00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ze sprzedaży majątku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506.000,00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506,000,00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8.987.500,00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212.500,00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9.200.000,00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31.128.128,88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795.579,02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31.923.707,90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19.576.868,88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575.579,02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20.152.447,90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10.157.367,88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52.125,00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10.209.492,88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11.551.260,00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11.771.260,00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</w:rPr>
        <w:t>W Wieloletniej Prognozie Finansowej Gminy Bądkowo nie dokonano zmian w zakresie rozchodów  w roku budżetowym.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</w:rPr>
        <w:t>Przychody  budżetu w 2023 roku zwiększyły  się o kwotę 183.079,02zł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</w:rPr>
        <w:t>Kwota długu planowana na koniec 2023 roku nie zmieniła się.</w:t>
      </w: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  <w:b/>
          <w:bCs/>
        </w:rPr>
        <w:t>Tabela 2. Zmiany w przychodach i rozchodach w 2023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20"/>
        <w:gridCol w:w="2160"/>
        <w:gridCol w:w="2340"/>
      </w:tblGrid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3.621.825,40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183.079,02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3.804.904,42</w:t>
            </w:r>
          </w:p>
        </w:tc>
      </w:tr>
      <w:tr w:rsidR="00F06BA6" w:rsidRPr="00F06BA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  <w:szCs w:val="20"/>
              </w:rPr>
              <w:t>R804ozchody budżetu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0,00 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06BA6" w:rsidRDefault="00F06BA6" w:rsidP="00F06B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A6"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</w:tr>
    </w:tbl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F06BA6" w:rsidRPr="00F06BA6" w:rsidRDefault="00F06BA6" w:rsidP="00F06B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06BA6">
        <w:rPr>
          <w:rFonts w:ascii="Arial" w:hAnsi="Arial" w:cs="Arial"/>
        </w:rPr>
        <w:t>Pełen zakres zmian obrazują załączniki nr 1 i 2 do niniejszej uchwały.</w:t>
      </w:r>
    </w:p>
    <w:p w:rsidR="00835435" w:rsidRDefault="00F06BA6"/>
    <w:sectPr w:rsidR="00835435" w:rsidSect="00606F3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A6"/>
    <w:rsid w:val="000827CA"/>
    <w:rsid w:val="00366D08"/>
    <w:rsid w:val="00F0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</cp:revision>
  <dcterms:created xsi:type="dcterms:W3CDTF">2023-01-05T08:31:00Z</dcterms:created>
  <dcterms:modified xsi:type="dcterms:W3CDTF">2023-01-05T08:32:00Z</dcterms:modified>
</cp:coreProperties>
</file>